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DD" w:rsidRDefault="002A21DD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</w:rPr>
      </w:pPr>
    </w:p>
    <w:p w:rsidR="002A21DD" w:rsidRDefault="00C25BB6">
      <w:pPr>
        <w:jc w:val="center"/>
        <w:rPr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6E5921B8" wp14:editId="6C6F858E">
            <wp:extent cx="542925" cy="552450"/>
            <wp:effectExtent l="0" t="0" r="9525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DD" w:rsidRDefault="002A21DD">
      <w:pPr>
        <w:rPr>
          <w:sz w:val="2"/>
          <w:szCs w:val="2"/>
        </w:rPr>
      </w:pPr>
    </w:p>
    <w:p w:rsidR="002A21DD" w:rsidRDefault="002A21DD">
      <w:pPr>
        <w:jc w:val="center"/>
        <w:rPr>
          <w:b/>
          <w:bCs/>
          <w:szCs w:val="24"/>
        </w:rPr>
      </w:pPr>
    </w:p>
    <w:p w:rsidR="002A21DD" w:rsidRDefault="002A21DD">
      <w:pPr>
        <w:rPr>
          <w:sz w:val="2"/>
          <w:szCs w:val="2"/>
        </w:rPr>
      </w:pPr>
    </w:p>
    <w:p w:rsidR="002A21DD" w:rsidRDefault="00C25BB6">
      <w:pPr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LIETUVOS RESPUBLIKOS ŠVIETIMO, MOKSLO IR SPORTO MINISTRAS</w:t>
      </w:r>
    </w:p>
    <w:p w:rsidR="002A21DD" w:rsidRDefault="002A21DD">
      <w:pPr>
        <w:rPr>
          <w:sz w:val="2"/>
          <w:szCs w:val="2"/>
        </w:rPr>
      </w:pPr>
    </w:p>
    <w:p w:rsidR="002A21DD" w:rsidRDefault="002A21DD">
      <w:pPr>
        <w:overflowPunct w:val="0"/>
        <w:jc w:val="center"/>
        <w:textAlignment w:val="baseline"/>
        <w:rPr>
          <w:b/>
        </w:rPr>
      </w:pPr>
    </w:p>
    <w:p w:rsidR="002A21DD" w:rsidRDefault="002A21DD">
      <w:pPr>
        <w:rPr>
          <w:sz w:val="2"/>
          <w:szCs w:val="2"/>
        </w:rPr>
      </w:pPr>
    </w:p>
    <w:p w:rsidR="002A21DD" w:rsidRDefault="00C25BB6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:rsidR="002A21DD" w:rsidRDefault="002A21DD">
      <w:pPr>
        <w:rPr>
          <w:sz w:val="2"/>
          <w:szCs w:val="2"/>
        </w:rPr>
      </w:pPr>
    </w:p>
    <w:p w:rsidR="00C25BB6" w:rsidRDefault="00C25BB6" w:rsidP="00C25BB6">
      <w:pPr>
        <w:overflowPunct w:val="0"/>
        <w:jc w:val="center"/>
        <w:textAlignment w:val="baseline"/>
        <w:rPr>
          <w:b/>
          <w:bCs/>
          <w:caps/>
          <w:szCs w:val="24"/>
        </w:rPr>
      </w:pPr>
      <w:r>
        <w:rPr>
          <w:b/>
          <w:bCs/>
          <w:szCs w:val="24"/>
        </w:rPr>
        <w:t xml:space="preserve">DĖL </w:t>
      </w:r>
      <w:r>
        <w:rPr>
          <w:b/>
          <w:szCs w:val="24"/>
        </w:rPr>
        <w:t xml:space="preserve">PAGRINDINIO UGDYMO PROGRAMOS IR VIDURINIO UGDYMO PROGRAMOS III GIMNAZIJOS KLASĖS MOKINIŲ UGDYMO PROCESO </w:t>
      </w:r>
      <w:r>
        <w:rPr>
          <w:b/>
          <w:bCs/>
          <w:szCs w:val="24"/>
        </w:rPr>
        <w:t xml:space="preserve">ORGANIZAVIMO </w:t>
      </w:r>
      <w:r>
        <w:rPr>
          <w:b/>
          <w:color w:val="000000"/>
          <w:szCs w:val="24"/>
        </w:rPr>
        <w:t>2020–2021 MOKSLO METAIS</w:t>
      </w:r>
    </w:p>
    <w:p w:rsidR="00C25BB6" w:rsidRDefault="00C25BB6" w:rsidP="00C25BB6">
      <w:pPr>
        <w:overflowPunct w:val="0"/>
        <w:jc w:val="center"/>
        <w:textAlignment w:val="baseline"/>
        <w:rPr>
          <w:bCs/>
          <w:caps/>
        </w:rPr>
      </w:pPr>
    </w:p>
    <w:p w:rsidR="00C25BB6" w:rsidRDefault="00C25BB6" w:rsidP="00C25BB6">
      <w:pPr>
        <w:keepNext/>
        <w:tabs>
          <w:tab w:val="left" w:pos="2813"/>
          <w:tab w:val="right" w:pos="4711"/>
        </w:tabs>
        <w:overflowPunct w:val="0"/>
        <w:jc w:val="center"/>
        <w:textAlignment w:val="baseline"/>
        <w:outlineLvl w:val="2"/>
      </w:pPr>
      <w:r>
        <w:t xml:space="preserve">2021 m. gegužės </w:t>
      </w:r>
      <w:r>
        <w:rPr>
          <w:lang w:val="en-US"/>
        </w:rPr>
        <w:t>6</w:t>
      </w:r>
      <w:r>
        <w:t xml:space="preserve"> d. Nr. V-725</w:t>
      </w:r>
    </w:p>
    <w:p w:rsidR="00C25BB6" w:rsidRDefault="00C25BB6" w:rsidP="00C25BB6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C25BB6" w:rsidRDefault="00C25BB6">
      <w:pPr>
        <w:overflowPunct w:val="0"/>
        <w:jc w:val="center"/>
        <w:textAlignment w:val="baseline"/>
        <w:rPr>
          <w:bCs/>
          <w:caps/>
        </w:rPr>
      </w:pPr>
    </w:p>
    <w:p w:rsidR="00C25BB6" w:rsidRDefault="00C25BB6">
      <w:pPr>
        <w:overflowPunct w:val="0"/>
        <w:jc w:val="center"/>
        <w:textAlignment w:val="baseline"/>
        <w:rPr>
          <w:bCs/>
          <w:caps/>
        </w:rPr>
      </w:pPr>
    </w:p>
    <w:p w:rsidR="002A21DD" w:rsidRDefault="00C25BB6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Vado</w:t>
      </w:r>
      <w:bookmarkStart w:id="0" w:name="_GoBack"/>
      <w:bookmarkEnd w:id="0"/>
      <w:r>
        <w:rPr>
          <w:szCs w:val="24"/>
        </w:rPr>
        <w:t xml:space="preserve">vaudamasi Lietuvos Respublikos Vyriausybės 2020 m. lapkričio 4 d. nutarimo Nr. 1226 „Dėl </w:t>
      </w:r>
      <w:r>
        <w:rPr>
          <w:szCs w:val="24"/>
        </w:rPr>
        <w:t>karantino Lietuvos Respublikos teritorijoje paskelbimo</w:t>
      </w:r>
      <w:r>
        <w:rPr>
          <w:szCs w:val="24"/>
          <w:shd w:val="clear" w:color="auto" w:fill="FFFFFF"/>
        </w:rPr>
        <w:t xml:space="preserve">“ 2.2.9.2 </w:t>
      </w:r>
      <w:r>
        <w:rPr>
          <w:szCs w:val="24"/>
        </w:rPr>
        <w:t>papunkčiu</w:t>
      </w:r>
      <w:r>
        <w:rPr>
          <w:szCs w:val="24"/>
          <w:shd w:val="clear" w:color="auto" w:fill="FFFFFF"/>
        </w:rPr>
        <w:t>:</w:t>
      </w:r>
      <w:r>
        <w:rPr>
          <w:szCs w:val="24"/>
        </w:rPr>
        <w:t xml:space="preserve"> </w:t>
      </w:r>
    </w:p>
    <w:p w:rsidR="002A21DD" w:rsidRDefault="00C25BB6">
      <w:pPr>
        <w:rPr>
          <w:sz w:val="2"/>
          <w:szCs w:val="2"/>
        </w:rPr>
      </w:pPr>
    </w:p>
    <w:p w:rsidR="002A21DD" w:rsidRDefault="00C25BB6" w:rsidP="00C25BB6">
      <w:pPr>
        <w:overflowPunct w:val="0"/>
        <w:ind w:firstLine="1276"/>
        <w:textAlignment w:val="baseline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. N u s t a t a u, kad: </w:t>
      </w:r>
    </w:p>
    <w:p w:rsidR="002A21DD" w:rsidRDefault="002A21DD">
      <w:pPr>
        <w:rPr>
          <w:sz w:val="2"/>
          <w:szCs w:val="2"/>
        </w:rPr>
      </w:pPr>
    </w:p>
    <w:p w:rsidR="002A21DD" w:rsidRDefault="00C25BB6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 xml:space="preserve">. pagrindinio ugdymo programos ir vidurinio ugdymo programos III gimnazijos klasės mokiniams ugdymo procesas organizuojamas derinant kasdienį mokymo proceso organizavimo ir nuotolinį mokymo proceso organizavimo būdus; </w:t>
      </w:r>
    </w:p>
    <w:p w:rsidR="002A21DD" w:rsidRDefault="00C25BB6">
      <w:pPr>
        <w:rPr>
          <w:sz w:val="2"/>
          <w:szCs w:val="2"/>
        </w:rPr>
      </w:pPr>
    </w:p>
    <w:p w:rsidR="002A21DD" w:rsidRDefault="00C25BB6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1.2</w:t>
      </w:r>
      <w:r>
        <w:rPr>
          <w:szCs w:val="24"/>
        </w:rPr>
        <w:t>. pagrindinis pagrindinio ugd</w:t>
      </w:r>
      <w:r>
        <w:rPr>
          <w:szCs w:val="24"/>
        </w:rPr>
        <w:t xml:space="preserve">ymo programos ir vidurinio ugdymo programos III gimnazijos klasės mokinių mokymo </w:t>
      </w:r>
      <w:r>
        <w:rPr>
          <w:color w:val="000000"/>
          <w:szCs w:val="24"/>
        </w:rPr>
        <w:t xml:space="preserve">proceso organizavimo </w:t>
      </w:r>
      <w:r>
        <w:rPr>
          <w:szCs w:val="24"/>
        </w:rPr>
        <w:t>būdas – kasdienis mokymo proceso organizavimo būdas, kuriuo organizuojama didesnė ugdymo proceso dalis. Nuotoliniu mokymo proceso organizavimo būdu negali</w:t>
      </w:r>
      <w:r>
        <w:rPr>
          <w:szCs w:val="24"/>
        </w:rPr>
        <w:t xml:space="preserve"> būti vykdoma daugiau negu 50 procentų ugdymo procesui skirto laiko;</w:t>
      </w:r>
    </w:p>
    <w:p w:rsidR="002A21DD" w:rsidRDefault="00C25BB6">
      <w:pPr>
        <w:rPr>
          <w:sz w:val="2"/>
          <w:szCs w:val="2"/>
        </w:rPr>
      </w:pPr>
    </w:p>
    <w:p w:rsidR="002A21DD" w:rsidRDefault="00C25BB6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1.3</w:t>
      </w:r>
      <w:r>
        <w:rPr>
          <w:szCs w:val="24"/>
        </w:rPr>
        <w:t>. kiekvienos klasės konkrečią ugdymo organizavimo trukmę kasdieniu mokymo proceso organizavimo būdu ir nuotoliniu mokymo proceso organizavimo būdu bei jų kaitą nustato mokyklos va</w:t>
      </w:r>
      <w:r>
        <w:rPr>
          <w:szCs w:val="24"/>
        </w:rPr>
        <w:t>dovas;</w:t>
      </w:r>
    </w:p>
    <w:p w:rsidR="002A21DD" w:rsidRDefault="00C25BB6">
      <w:pPr>
        <w:rPr>
          <w:sz w:val="2"/>
          <w:szCs w:val="2"/>
        </w:rPr>
      </w:pPr>
    </w:p>
    <w:p w:rsidR="002A21DD" w:rsidRDefault="00C25BB6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 xml:space="preserve">. organizuojant ugdymo procesą pagrindinio ugdymo programos ir vidurinio ugdymo programos III gimnazijos klasės mokiniams, turi būti užtikrinamos valstybės lygio ekstremaliosios situacijos valstybės operacijų vadovo nustatytos asmenų srautų </w:t>
      </w:r>
      <w:r>
        <w:rPr>
          <w:szCs w:val="24"/>
        </w:rPr>
        <w:t>valdymo, saugaus atstumo laikymosi ir kitos būtinos visuomenės sveikatos saugos, higienos, asmenų aprūpinimo būtinosiomis asmeninėmis apsaugos priemonėmis sąlygos.</w:t>
      </w:r>
    </w:p>
    <w:p w:rsidR="002A21DD" w:rsidRDefault="00C25BB6">
      <w:pPr>
        <w:rPr>
          <w:sz w:val="2"/>
          <w:szCs w:val="2"/>
        </w:rPr>
      </w:pPr>
    </w:p>
    <w:p w:rsidR="002A21DD" w:rsidRDefault="00C25BB6">
      <w:pPr>
        <w:overflowPunct w:val="0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</w:t>
      </w:r>
      <w:r>
        <w:rPr>
          <w:rFonts w:ascii="HelveticaLT" w:hAnsi="HelveticaLT"/>
          <w:sz w:val="20"/>
        </w:rPr>
        <w:t xml:space="preserve"> </w:t>
      </w:r>
      <w:r>
        <w:rPr>
          <w:szCs w:val="24"/>
        </w:rPr>
        <w:t>Šis įsakymas įsigalioja 2021 m. gegužės 10 d.</w:t>
      </w:r>
    </w:p>
    <w:p w:rsidR="002A21DD" w:rsidRDefault="00C25BB6">
      <w:pPr>
        <w:rPr>
          <w:sz w:val="2"/>
          <w:szCs w:val="2"/>
        </w:rPr>
      </w:pPr>
    </w:p>
    <w:p w:rsidR="002A21DD" w:rsidRDefault="002A21DD" w:rsidP="00C25BB6">
      <w:pPr>
        <w:overflowPunct w:val="0"/>
        <w:textAlignment w:val="baseline"/>
        <w:rPr>
          <w:szCs w:val="24"/>
        </w:rPr>
      </w:pPr>
    </w:p>
    <w:p w:rsidR="002A21DD" w:rsidRDefault="002A21DD">
      <w:pPr>
        <w:rPr>
          <w:sz w:val="2"/>
          <w:szCs w:val="2"/>
        </w:rPr>
      </w:pPr>
    </w:p>
    <w:p w:rsidR="002A21DD" w:rsidRDefault="002A21DD">
      <w:pPr>
        <w:overflowPunct w:val="0"/>
        <w:jc w:val="both"/>
        <w:textAlignment w:val="baseline"/>
        <w:rPr>
          <w:szCs w:val="24"/>
        </w:rPr>
      </w:pPr>
    </w:p>
    <w:p w:rsidR="002A21DD" w:rsidRDefault="002A21DD">
      <w:pPr>
        <w:overflowPunct w:val="0"/>
        <w:textAlignment w:val="baseline"/>
        <w:rPr>
          <w:szCs w:val="24"/>
        </w:rPr>
      </w:pPr>
    </w:p>
    <w:p w:rsidR="002A21DD" w:rsidRDefault="002A21DD">
      <w:pPr>
        <w:rPr>
          <w:sz w:val="2"/>
          <w:szCs w:val="2"/>
        </w:rPr>
      </w:pPr>
    </w:p>
    <w:p w:rsidR="002A21DD" w:rsidRDefault="00C25BB6" w:rsidP="00C25BB6">
      <w:pPr>
        <w:tabs>
          <w:tab w:val="left" w:pos="5778"/>
        </w:tabs>
        <w:overflowPunct w:val="0"/>
        <w:textAlignment w:val="baseline"/>
        <w:rPr>
          <w:rFonts w:ascii="HelveticaLT" w:hAnsi="HelveticaLT"/>
        </w:rPr>
      </w:pPr>
      <w:r>
        <w:t>Švietimo, mokslo ir sporto ministrė</w:t>
      </w:r>
      <w:r>
        <w:tab/>
      </w:r>
      <w:r>
        <w:tab/>
      </w:r>
      <w:r>
        <w:tab/>
        <w:t xml:space="preserve">Jurgita </w:t>
      </w:r>
      <w:proofErr w:type="spellStart"/>
      <w:r>
        <w:t>Šiugždinienė</w:t>
      </w:r>
      <w:proofErr w:type="spellEnd"/>
    </w:p>
    <w:sectPr w:rsidR="002A21DD">
      <w:footerReference w:type="even" r:id="rId13"/>
      <w:footerReference w:type="default" r:id="rId14"/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DD" w:rsidRDefault="00C25BB6">
      <w:pPr>
        <w:overflowPunct w:val="0"/>
        <w:textAlignment w:val="baseline"/>
        <w:rPr>
          <w:rFonts w:ascii="HelveticaLT" w:hAnsi="HelveticaLT"/>
          <w:sz w:val="20"/>
        </w:rPr>
      </w:pPr>
      <w:r>
        <w:rPr>
          <w:rFonts w:ascii="HelveticaLT" w:hAnsi="HelveticaLT"/>
          <w:sz w:val="20"/>
        </w:rPr>
        <w:separator/>
      </w:r>
    </w:p>
  </w:endnote>
  <w:endnote w:type="continuationSeparator" w:id="0">
    <w:p w:rsidR="002A21DD" w:rsidRDefault="00C25BB6">
      <w:pPr>
        <w:overflowPunct w:val="0"/>
        <w:textAlignment w:val="baseline"/>
        <w:rPr>
          <w:rFonts w:ascii="HelveticaLT" w:hAnsi="HelveticaLT"/>
          <w:sz w:val="20"/>
        </w:rPr>
      </w:pPr>
      <w:r>
        <w:rPr>
          <w:rFonts w:ascii="HelveticaLT" w:hAnsi="HelveticaLT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DD" w:rsidRDefault="00C25BB6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</w:rPr>
    </w:pPr>
    <w:r>
      <w:rPr>
        <w:rFonts w:ascii="HelveticaLT" w:hAnsi="HelveticaLT"/>
        <w:sz w:val="20"/>
      </w:rPr>
      <w:fldChar w:fldCharType="begin"/>
    </w:r>
    <w:r>
      <w:rPr>
        <w:rFonts w:ascii="HelveticaLT" w:hAnsi="HelveticaLT"/>
        <w:sz w:val="20"/>
      </w:rPr>
      <w:instrText xml:space="preserve">PAGE  </w:instrText>
    </w:r>
    <w:r>
      <w:rPr>
        <w:rFonts w:ascii="HelveticaLT" w:hAnsi="HelveticaLT"/>
        <w:sz w:val="20"/>
      </w:rPr>
      <w:fldChar w:fldCharType="end"/>
    </w:r>
  </w:p>
  <w:p w:rsidR="002A21DD" w:rsidRDefault="002A21D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DD" w:rsidRDefault="00C25BB6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16"/>
        <w:szCs w:val="16"/>
      </w:rPr>
    </w:pPr>
    <w:r>
      <w:rPr>
        <w:rFonts w:ascii="HelveticaLT" w:hAnsi="HelveticaLT"/>
        <w:sz w:val="16"/>
        <w:szCs w:val="16"/>
        <w:lang w:val="en-US"/>
      </w:rPr>
      <w:t xml:space="preserve">04-30 </w:t>
    </w:r>
    <w:proofErr w:type="spellStart"/>
    <w:r>
      <w:rPr>
        <w:rFonts w:ascii="HelveticaLT" w:hAnsi="HelveticaLT"/>
        <w:sz w:val="16"/>
        <w:szCs w:val="16"/>
        <w:lang w:val="en-US"/>
      </w:rPr>
      <w:t>įsakymas</w:t>
    </w:r>
    <w:proofErr w:type="spellEnd"/>
    <w:r>
      <w:rPr>
        <w:rFonts w:ascii="HelveticaLT" w:hAnsi="HelveticaLT"/>
        <w:sz w:val="16"/>
        <w:szCs w:val="16"/>
        <w:lang w:val="en-US"/>
      </w:rPr>
      <w:t xml:space="preserve"> (2)</w:t>
    </w:r>
  </w:p>
  <w:p w:rsidR="002A21DD" w:rsidRDefault="002A21D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DD" w:rsidRDefault="00C25BB6">
      <w:pPr>
        <w:overflowPunct w:val="0"/>
        <w:textAlignment w:val="baseline"/>
        <w:rPr>
          <w:rFonts w:ascii="HelveticaLT" w:hAnsi="HelveticaLT"/>
          <w:sz w:val="20"/>
        </w:rPr>
      </w:pPr>
      <w:r>
        <w:rPr>
          <w:rFonts w:ascii="HelveticaLT" w:hAnsi="HelveticaLT"/>
          <w:sz w:val="20"/>
        </w:rPr>
        <w:separator/>
      </w:r>
    </w:p>
  </w:footnote>
  <w:footnote w:type="continuationSeparator" w:id="0">
    <w:p w:rsidR="002A21DD" w:rsidRDefault="00C25BB6">
      <w:pPr>
        <w:overflowPunct w:val="0"/>
        <w:textAlignment w:val="baseline"/>
        <w:rPr>
          <w:rFonts w:ascii="HelveticaLT" w:hAnsi="HelveticaLT"/>
          <w:sz w:val="20"/>
        </w:rPr>
      </w:pPr>
      <w:r>
        <w:rPr>
          <w:rFonts w:ascii="HelveticaLT" w:hAnsi="HelveticaLT"/>
          <w:sz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77"/>
    <w:rsid w:val="002A21DD"/>
    <w:rsid w:val="00423377"/>
    <w:rsid w:val="00C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25B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25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ntTable" Target="fontTable.xml"/>
  <Relationship Id="rId16" Type="http://schemas.openxmlformats.org/officeDocument/2006/relationships/glossaryDocument" Target="glossary/document.xml"/>
  <Relationship Id="rId17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38C90-115C-40FD-8FCB-B6AB8A89CAED}"/>
      </w:docPartPr>
      <w:docPartBody>
        <w:p w:rsidR="00000000" w:rsidRDefault="00AE3B2A">
          <w:r w:rsidRPr="00FE52A7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2A"/>
    <w:rsid w:val="00A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E3B2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E3B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1064-0951-4DF2-8AEE-77D18B384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E9E7A-11D4-4EC6-95A1-E3E8B30B3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8DC73-7736-49CD-9414-47C7C1F92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4CA841-AE46-4B91-B28A-8E9901DA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VKS</Company>
  <LinksUpToDate>false</LinksUpToDate>
  <CharactersWithSpaces>1782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2021-05-06T07:45:00Z</dcterms:created>
  <dc:creator>Šuminienė Audronė</dc:creator>
  <lastModifiedBy>PAPINIGIENĖ Augustė</lastModifiedBy>
  <lastPrinted>2021-04-30T12:12:00Z</lastPrinted>
  <dcterms:modified xsi:type="dcterms:W3CDTF">2021-05-06T10:29:00Z</dcterms:modified>
  <revision>3</revision>
  <dc:title>954fb750-a38a-48cb-a708-83ff55a4c852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